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E6" w:rsidRPr="006A4245" w:rsidRDefault="006A4245">
      <w:pPr>
        <w:rPr>
          <w:rFonts w:asciiTheme="majorEastAsia" w:eastAsiaTheme="majorEastAsia" w:hAnsiTheme="majorEastAsia"/>
        </w:rPr>
      </w:pPr>
      <w:r w:rsidRPr="006A4245">
        <w:rPr>
          <w:rFonts w:asciiTheme="majorEastAsia" w:eastAsiaTheme="majorEastAsia" w:hAnsiTheme="majorEastAsia" w:hint="eastAsia"/>
        </w:rPr>
        <w:t>東大和市立</w:t>
      </w:r>
      <w:r w:rsidR="00EC4531" w:rsidRPr="006A4245">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7D51A561" wp14:editId="40427BA4">
                <wp:simplePos x="0" y="0"/>
                <wp:positionH relativeFrom="column">
                  <wp:posOffset>-253365</wp:posOffset>
                </wp:positionH>
                <wp:positionV relativeFrom="paragraph">
                  <wp:posOffset>-367665</wp:posOffset>
                </wp:positionV>
                <wp:extent cx="141922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419225" cy="314325"/>
                        </a:xfrm>
                        <a:prstGeom prst="rect">
                          <a:avLst/>
                        </a:prstGeom>
                        <a:solidFill>
                          <a:sysClr val="window" lastClr="FFFFFF"/>
                        </a:solidFill>
                        <a:ln w="6350">
                          <a:solidFill>
                            <a:prstClr val="black"/>
                          </a:solidFill>
                        </a:ln>
                        <a:effectLst/>
                      </wps:spPr>
                      <wps:txbx>
                        <w:txbxContent>
                          <w:p w:rsidR="00EC4531" w:rsidRPr="006A4245" w:rsidRDefault="00AC15FF" w:rsidP="00EC4531">
                            <w:pPr>
                              <w:rPr>
                                <w:rFonts w:asciiTheme="majorEastAsia" w:eastAsiaTheme="majorEastAsia" w:hAnsiTheme="majorEastAsia"/>
                              </w:rPr>
                            </w:pPr>
                            <w:r w:rsidRPr="006A4245">
                              <w:rPr>
                                <w:rFonts w:asciiTheme="majorEastAsia" w:eastAsiaTheme="majorEastAsia" w:hAnsiTheme="majorEastAsia" w:hint="eastAsia"/>
                              </w:rPr>
                              <w:t xml:space="preserve">別紙１　</w:t>
                            </w:r>
                            <w:r w:rsidR="006A4245" w:rsidRPr="006A4245">
                              <w:rPr>
                                <w:rFonts w:asciiTheme="majorEastAsia" w:eastAsiaTheme="majorEastAsia" w:hAnsiTheme="majorEastAsia" w:hint="eastAsia"/>
                              </w:rPr>
                              <w:t>活動方針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51A561" id="_x0000_t202" coordsize="21600,21600" o:spt="202" path="m,l,21600r21600,l21600,xe">
                <v:stroke joinstyle="miter"/>
                <v:path gradientshapeok="t" o:connecttype="rect"/>
              </v:shapetype>
              <v:shape id="テキスト ボックス 1" o:spid="_x0000_s1026" type="#_x0000_t202" style="position:absolute;left:0;text-align:left;margin-left:-19.95pt;margin-top:-28.95pt;width:111.7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" fillcolor="window" strokeweight=".5pt">
                <v:textbox>
                  <w:txbxContent>
                    <w:p w:rsidR="00EC4531" w:rsidRPr="006A4245" w:rsidRDefault="00AC15FF" w:rsidP="00EC4531">
                      <w:pPr>
                        <w:rPr>
                          <w:rFonts w:asciiTheme="majorEastAsia" w:eastAsiaTheme="majorEastAsia" w:hAnsiTheme="majorEastAsia"/>
                        </w:rPr>
                      </w:pPr>
                      <w:r w:rsidRPr="006A4245">
                        <w:rPr>
                          <w:rFonts w:asciiTheme="majorEastAsia" w:eastAsiaTheme="majorEastAsia" w:hAnsiTheme="majorEastAsia" w:hint="eastAsia"/>
                        </w:rPr>
                        <w:t xml:space="preserve">別紙１　</w:t>
                      </w:r>
                      <w:r w:rsidR="006A4245" w:rsidRPr="006A4245">
                        <w:rPr>
                          <w:rFonts w:asciiTheme="majorEastAsia" w:eastAsiaTheme="majorEastAsia" w:hAnsiTheme="majorEastAsia" w:hint="eastAsia"/>
                        </w:rPr>
                        <w:t>活動方針</w:t>
                      </w:r>
                    </w:p>
                  </w:txbxContent>
                </v:textbox>
              </v:shape>
            </w:pict>
          </mc:Fallback>
        </mc:AlternateContent>
      </w:r>
      <w:r w:rsidRPr="006A4245">
        <w:rPr>
          <w:rFonts w:asciiTheme="majorEastAsia" w:eastAsiaTheme="majorEastAsia" w:hAnsiTheme="majorEastAsia" w:hint="eastAsia"/>
        </w:rPr>
        <w:t>第</w:t>
      </w:r>
      <w:r w:rsidR="00432A0C">
        <w:rPr>
          <w:rFonts w:asciiTheme="majorEastAsia" w:eastAsiaTheme="majorEastAsia" w:hAnsiTheme="majorEastAsia" w:hint="eastAsia"/>
        </w:rPr>
        <w:t>一</w:t>
      </w:r>
      <w:bookmarkStart w:id="0" w:name="_GoBack"/>
      <w:bookmarkEnd w:id="0"/>
      <w:r w:rsidR="00CA1D98">
        <w:rPr>
          <w:rFonts w:asciiTheme="majorEastAsia" w:eastAsiaTheme="majorEastAsia" w:hAnsiTheme="majorEastAsia" w:hint="eastAsia"/>
        </w:rPr>
        <w:t>中</w:t>
      </w:r>
      <w:r w:rsidR="00570899">
        <w:rPr>
          <w:rFonts w:asciiTheme="majorEastAsia" w:eastAsiaTheme="majorEastAsia" w:hAnsiTheme="majorEastAsia" w:hint="eastAsia"/>
        </w:rPr>
        <w:t xml:space="preserve">学校　</w:t>
      </w:r>
      <w:r w:rsidR="00EC4531" w:rsidRPr="006A4245">
        <w:rPr>
          <w:rFonts w:asciiTheme="majorEastAsia" w:eastAsiaTheme="majorEastAsia" w:hAnsiTheme="majorEastAsia" w:hint="eastAsia"/>
        </w:rPr>
        <w:t>部活動に関する活動方針</w:t>
      </w:r>
    </w:p>
    <w:tbl>
      <w:tblPr>
        <w:tblStyle w:val="a3"/>
        <w:tblW w:w="0" w:type="auto"/>
        <w:tblLook w:val="04A0" w:firstRow="1" w:lastRow="0" w:firstColumn="1" w:lastColumn="0" w:noHBand="0" w:noVBand="1"/>
      </w:tblPr>
      <w:tblGrid>
        <w:gridCol w:w="2943"/>
        <w:gridCol w:w="6893"/>
      </w:tblGrid>
      <w:tr w:rsidR="00322EDD" w:rsidTr="00432A0C">
        <w:trPr>
          <w:trHeight w:val="2319"/>
        </w:trPr>
        <w:tc>
          <w:tcPr>
            <w:tcW w:w="2943" w:type="dxa"/>
            <w:vAlign w:val="center"/>
          </w:tcPr>
          <w:p w:rsidR="00322EDD" w:rsidRDefault="003A63BF" w:rsidP="003A63BF">
            <w:pPr>
              <w:jc w:val="center"/>
            </w:pPr>
            <w:r>
              <w:rPr>
                <w:rFonts w:hint="eastAsia"/>
              </w:rPr>
              <w:t>学校における</w:t>
            </w:r>
            <w:r w:rsidR="00322EDD">
              <w:rPr>
                <w:rFonts w:hint="eastAsia"/>
              </w:rPr>
              <w:t>部活動の方針</w:t>
            </w:r>
          </w:p>
        </w:tc>
        <w:tc>
          <w:tcPr>
            <w:tcW w:w="6893" w:type="dxa"/>
            <w:vAlign w:val="center"/>
          </w:tcPr>
          <w:p w:rsidR="00322EDD" w:rsidRDefault="00BE2A73" w:rsidP="006B1FC6">
            <w:pPr>
              <w:rPr>
                <w:rFonts w:hint="eastAsia"/>
              </w:rPr>
            </w:pPr>
            <w:r>
              <w:t>知・徳・体のバランスのとれた「生きる力」を育む「日本型学校教育」の意義をふまえて、部活動を教育の一環</w:t>
            </w:r>
            <w:r w:rsidR="00DD2C94">
              <w:t>として行い、同好の興味・関心をもつ生徒が顧問の指導のもと、共通の目標に向かって互いに励まし合い、協力し合い、高め合いながら己の成長をはかり、学校生活を前向きに送ることができるようになることを目指していく。</w:t>
            </w:r>
          </w:p>
        </w:tc>
      </w:tr>
      <w:tr w:rsidR="00DC4656" w:rsidRPr="00DC4656" w:rsidTr="00432A0C">
        <w:trPr>
          <w:trHeight w:val="4957"/>
        </w:trPr>
        <w:tc>
          <w:tcPr>
            <w:tcW w:w="2943" w:type="dxa"/>
            <w:vAlign w:val="center"/>
          </w:tcPr>
          <w:p w:rsidR="00DC4656" w:rsidRDefault="00DC4656" w:rsidP="003A63BF">
            <w:pPr>
              <w:jc w:val="center"/>
            </w:pPr>
            <w:r>
              <w:rPr>
                <w:rFonts w:hint="eastAsia"/>
              </w:rPr>
              <w:t>適切な休養日等の設定方針</w:t>
            </w:r>
          </w:p>
        </w:tc>
        <w:tc>
          <w:tcPr>
            <w:tcW w:w="6893" w:type="dxa"/>
            <w:vAlign w:val="center"/>
          </w:tcPr>
          <w:p w:rsidR="00DD2C94" w:rsidRDefault="00DD2C94" w:rsidP="00DD2C94">
            <w:pPr>
              <w:pStyle w:val="Default"/>
              <w:rPr>
                <w:sz w:val="23"/>
                <w:szCs w:val="23"/>
              </w:rPr>
            </w:pPr>
            <w:r>
              <w:rPr>
                <w:rFonts w:hint="eastAsia"/>
                <w:sz w:val="23"/>
                <w:szCs w:val="23"/>
              </w:rPr>
              <w:t>【休養日】</w:t>
            </w:r>
          </w:p>
          <w:p w:rsidR="00DD2C94" w:rsidRDefault="00DD2C94" w:rsidP="00DD2C94">
            <w:pPr>
              <w:pStyle w:val="Default"/>
              <w:ind w:left="230" w:hangingChars="100" w:hanging="230"/>
              <w:rPr>
                <w:sz w:val="23"/>
                <w:szCs w:val="23"/>
              </w:rPr>
            </w:pPr>
            <w:r>
              <w:rPr>
                <w:rFonts w:hint="eastAsia"/>
                <w:sz w:val="23"/>
                <w:szCs w:val="23"/>
              </w:rPr>
              <w:t>１　学期中は、週当たり２日以上の休養日を設ける。（平日は少なくとも１日、週休日は少なくとも１日を休養日とし、休養日が確保できなかった場合は、他の日に振り替える。）</w:t>
            </w:r>
          </w:p>
          <w:p w:rsidR="00DD2C94" w:rsidRDefault="00DD2C94" w:rsidP="00DD2C94">
            <w:pPr>
              <w:pStyle w:val="Default"/>
              <w:ind w:left="230" w:hangingChars="100" w:hanging="230"/>
              <w:rPr>
                <w:sz w:val="23"/>
                <w:szCs w:val="23"/>
              </w:rPr>
            </w:pPr>
            <w:r>
              <w:rPr>
                <w:rFonts w:hint="eastAsia"/>
                <w:sz w:val="23"/>
                <w:szCs w:val="23"/>
              </w:rPr>
              <w:t>２　長期休業中の休養日の設定についても、「１」に準じた扱いを行う。また、生徒が十分な休養を取ることができるとともに、部活動以外にも多様な活動を行うことができるよう、ある程度長期の休養期間（オフシーズン）を設ける。</w:t>
            </w:r>
          </w:p>
          <w:p w:rsidR="00DD2C94" w:rsidRDefault="00DD2C94" w:rsidP="00DD2C94">
            <w:pPr>
              <w:pStyle w:val="Default"/>
              <w:rPr>
                <w:sz w:val="23"/>
                <w:szCs w:val="23"/>
              </w:rPr>
            </w:pPr>
            <w:r>
              <w:rPr>
                <w:rFonts w:hint="eastAsia"/>
                <w:sz w:val="23"/>
                <w:szCs w:val="23"/>
              </w:rPr>
              <w:t>【活動時間】</w:t>
            </w:r>
          </w:p>
          <w:p w:rsidR="00DC4656" w:rsidRPr="00DC4656" w:rsidRDefault="00DD2C94" w:rsidP="00DD2C94">
            <w:pPr>
              <w:ind w:firstLineChars="100" w:firstLine="230"/>
              <w:rPr>
                <w:color w:val="FF0000"/>
              </w:rPr>
            </w:pPr>
            <w:r>
              <w:rPr>
                <w:rFonts w:hint="eastAsia"/>
                <w:sz w:val="23"/>
                <w:szCs w:val="23"/>
              </w:rPr>
              <w:t>１日の活動時間は、長くとも学期中の平日では２時間程度、週休日（祝日等を含む）及び長期休業中は３時間程度とし、できるだけ短時間に、合理的でかつ効率的・効果的な活動を行う。</w:t>
            </w:r>
          </w:p>
        </w:tc>
      </w:tr>
      <w:tr w:rsidR="00DC4656" w:rsidTr="00432A0C">
        <w:trPr>
          <w:trHeight w:val="3242"/>
        </w:trPr>
        <w:tc>
          <w:tcPr>
            <w:tcW w:w="2943" w:type="dxa"/>
            <w:vAlign w:val="center"/>
          </w:tcPr>
          <w:p w:rsidR="00DC4656" w:rsidRDefault="00DC4656" w:rsidP="003A63BF">
            <w:pPr>
              <w:jc w:val="center"/>
            </w:pPr>
            <w:r>
              <w:rPr>
                <w:rFonts w:hint="eastAsia"/>
              </w:rPr>
              <w:t>設置されている</w:t>
            </w:r>
          </w:p>
          <w:p w:rsidR="00DC4656" w:rsidRDefault="00DC4656" w:rsidP="003A63BF">
            <w:pPr>
              <w:jc w:val="center"/>
            </w:pPr>
            <w:r>
              <w:rPr>
                <w:rFonts w:hint="eastAsia"/>
              </w:rPr>
              <w:t>運動部活動名</w:t>
            </w:r>
          </w:p>
        </w:tc>
        <w:tc>
          <w:tcPr>
            <w:tcW w:w="6893" w:type="dxa"/>
            <w:vAlign w:val="center"/>
          </w:tcPr>
          <w:p w:rsidR="00DC4656" w:rsidRDefault="00432A0C" w:rsidP="006B1FC6">
            <w:pPr>
              <w:rPr>
                <w:color w:val="000000" w:themeColor="text1"/>
              </w:rPr>
            </w:pPr>
            <w:r w:rsidRPr="00432A0C">
              <w:rPr>
                <w:color w:val="000000" w:themeColor="text1"/>
              </w:rPr>
              <w:t>野球部</w:t>
            </w:r>
            <w:r>
              <w:rPr>
                <w:color w:val="000000" w:themeColor="text1"/>
              </w:rPr>
              <w:t xml:space="preserve">　　男子バスケットボール部　　女子バスケットボール部</w:t>
            </w:r>
          </w:p>
          <w:p w:rsidR="00432A0C" w:rsidRDefault="00432A0C" w:rsidP="00432A0C">
            <w:pPr>
              <w:rPr>
                <w:color w:val="000000" w:themeColor="text1"/>
              </w:rPr>
            </w:pPr>
            <w:r>
              <w:rPr>
                <w:color w:val="000000" w:themeColor="text1"/>
              </w:rPr>
              <w:t>陸上競技部　　硬式テニス部　　卓球部　　男子バレーボール部</w:t>
            </w:r>
          </w:p>
          <w:p w:rsidR="00432A0C" w:rsidRPr="00432A0C" w:rsidRDefault="00432A0C" w:rsidP="00432A0C">
            <w:pPr>
              <w:rPr>
                <w:rFonts w:hint="eastAsia"/>
                <w:color w:val="000000" w:themeColor="text1"/>
              </w:rPr>
            </w:pPr>
            <w:r>
              <w:rPr>
                <w:color w:val="000000" w:themeColor="text1"/>
              </w:rPr>
              <w:t xml:space="preserve">サッカー部　　バドミントン部　</w:t>
            </w:r>
          </w:p>
        </w:tc>
      </w:tr>
      <w:tr w:rsidR="00DC4656" w:rsidTr="00432A0C">
        <w:trPr>
          <w:trHeight w:val="2829"/>
        </w:trPr>
        <w:tc>
          <w:tcPr>
            <w:tcW w:w="2943" w:type="dxa"/>
            <w:vAlign w:val="center"/>
          </w:tcPr>
          <w:p w:rsidR="00DC4656" w:rsidRDefault="00DC4656" w:rsidP="003A63BF">
            <w:pPr>
              <w:jc w:val="center"/>
            </w:pPr>
            <w:r>
              <w:rPr>
                <w:rFonts w:hint="eastAsia"/>
              </w:rPr>
              <w:t>設置されている</w:t>
            </w:r>
          </w:p>
          <w:p w:rsidR="00DC4656" w:rsidRDefault="00DC4656" w:rsidP="003A63BF">
            <w:pPr>
              <w:jc w:val="center"/>
            </w:pPr>
            <w:r>
              <w:rPr>
                <w:rFonts w:hint="eastAsia"/>
              </w:rPr>
              <w:t>文化部活動名</w:t>
            </w:r>
          </w:p>
        </w:tc>
        <w:tc>
          <w:tcPr>
            <w:tcW w:w="6893" w:type="dxa"/>
            <w:vAlign w:val="center"/>
          </w:tcPr>
          <w:p w:rsidR="00432A0C" w:rsidRDefault="00432A0C" w:rsidP="006B1FC6">
            <w:pPr>
              <w:rPr>
                <w:color w:val="000000" w:themeColor="text1"/>
              </w:rPr>
            </w:pPr>
            <w:r w:rsidRPr="00432A0C">
              <w:rPr>
                <w:color w:val="000000" w:themeColor="text1"/>
              </w:rPr>
              <w:t>吹奏楽部</w:t>
            </w:r>
            <w:r>
              <w:rPr>
                <w:color w:val="000000" w:themeColor="text1"/>
              </w:rPr>
              <w:t xml:space="preserve">　　歌音部　　国際交流部　　文芸部　　郷土研究部</w:t>
            </w:r>
          </w:p>
          <w:p w:rsidR="00432A0C" w:rsidRPr="00432A0C" w:rsidRDefault="00432A0C" w:rsidP="006B1FC6">
            <w:pPr>
              <w:rPr>
                <w:rFonts w:hint="eastAsia"/>
                <w:color w:val="000000" w:themeColor="text1"/>
              </w:rPr>
            </w:pPr>
            <w:r>
              <w:rPr>
                <w:color w:val="000000" w:themeColor="text1"/>
              </w:rPr>
              <w:t xml:space="preserve">手芸部　　</w:t>
            </w:r>
            <w:r>
              <w:rPr>
                <w:color w:val="000000" w:themeColor="text1"/>
              </w:rPr>
              <w:t>I</w:t>
            </w:r>
            <w:r>
              <w:rPr>
                <w:color w:val="000000" w:themeColor="text1"/>
              </w:rPr>
              <w:t>組クラブ</w:t>
            </w:r>
          </w:p>
        </w:tc>
      </w:tr>
    </w:tbl>
    <w:p w:rsidR="00EC4531" w:rsidRPr="00EC4531" w:rsidRDefault="00EC4531"/>
    <w:sectPr w:rsidR="00EC4531" w:rsidRPr="00EC4531" w:rsidSect="005D2D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93E" w:rsidRDefault="002A193E" w:rsidP="00DC4656">
      <w:r>
        <w:separator/>
      </w:r>
    </w:p>
  </w:endnote>
  <w:endnote w:type="continuationSeparator" w:id="0">
    <w:p w:rsidR="002A193E" w:rsidRDefault="002A193E" w:rsidP="00DC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93E" w:rsidRDefault="002A193E" w:rsidP="00DC4656">
      <w:r>
        <w:separator/>
      </w:r>
    </w:p>
  </w:footnote>
  <w:footnote w:type="continuationSeparator" w:id="0">
    <w:p w:rsidR="002A193E" w:rsidRDefault="002A193E" w:rsidP="00DC4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D1D"/>
    <w:rsid w:val="000C166A"/>
    <w:rsid w:val="000D11D0"/>
    <w:rsid w:val="0021311D"/>
    <w:rsid w:val="002A193E"/>
    <w:rsid w:val="00322EDD"/>
    <w:rsid w:val="003676E6"/>
    <w:rsid w:val="003A63BF"/>
    <w:rsid w:val="00432A0C"/>
    <w:rsid w:val="00436D2B"/>
    <w:rsid w:val="00570899"/>
    <w:rsid w:val="005D2D1D"/>
    <w:rsid w:val="006A4245"/>
    <w:rsid w:val="006B1FC6"/>
    <w:rsid w:val="009429E3"/>
    <w:rsid w:val="00AC15FF"/>
    <w:rsid w:val="00BE2A73"/>
    <w:rsid w:val="00C76DF6"/>
    <w:rsid w:val="00CA1D98"/>
    <w:rsid w:val="00DC4656"/>
    <w:rsid w:val="00DD2C94"/>
    <w:rsid w:val="00E936DB"/>
    <w:rsid w:val="00EC4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2423EFD-DE11-4980-BB60-3994D29B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4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4656"/>
    <w:pPr>
      <w:tabs>
        <w:tab w:val="center" w:pos="4252"/>
        <w:tab w:val="right" w:pos="8504"/>
      </w:tabs>
      <w:snapToGrid w:val="0"/>
    </w:pPr>
  </w:style>
  <w:style w:type="character" w:customStyle="1" w:styleId="a5">
    <w:name w:val="ヘッダー (文字)"/>
    <w:basedOn w:val="a0"/>
    <w:link w:val="a4"/>
    <w:uiPriority w:val="99"/>
    <w:rsid w:val="00DC4656"/>
  </w:style>
  <w:style w:type="paragraph" w:styleId="a6">
    <w:name w:val="footer"/>
    <w:basedOn w:val="a"/>
    <w:link w:val="a7"/>
    <w:uiPriority w:val="99"/>
    <w:unhideWhenUsed/>
    <w:rsid w:val="00DC4656"/>
    <w:pPr>
      <w:tabs>
        <w:tab w:val="center" w:pos="4252"/>
        <w:tab w:val="right" w:pos="8504"/>
      </w:tabs>
      <w:snapToGrid w:val="0"/>
    </w:pPr>
  </w:style>
  <w:style w:type="character" w:customStyle="1" w:styleId="a7">
    <w:name w:val="フッター (文字)"/>
    <w:basedOn w:val="a0"/>
    <w:link w:val="a6"/>
    <w:uiPriority w:val="99"/>
    <w:rsid w:val="00DC4656"/>
  </w:style>
  <w:style w:type="paragraph" w:customStyle="1" w:styleId="Default">
    <w:name w:val="Default"/>
    <w:rsid w:val="00DD2C9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佐伯 あつ子</cp:lastModifiedBy>
  <cp:revision>11</cp:revision>
  <dcterms:created xsi:type="dcterms:W3CDTF">2018-04-11T11:37:00Z</dcterms:created>
  <dcterms:modified xsi:type="dcterms:W3CDTF">2019-04-24T01:38:00Z</dcterms:modified>
</cp:coreProperties>
</file>